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1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《劳动合同的概述与内容》教案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</w:t>
      </w:r>
      <w:bookmarkStart w:id="0" w:name="_GoBack"/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《劳动与社会保障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val="en-US" w:eastAsia="zh-CN"/>
        </w:rPr>
        <w:t>法律制度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》</w:t>
      </w:r>
    </w:p>
    <w:bookmarkEnd w:id="0"/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、授课内容：劳动合同的概述与内容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ind w:left="31680" w:hanging="15" w:hangingChars="5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学习劳动合同的基本概述、种类、内容。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：劳动合同的内容。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劳动合同的种类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(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无固定期限劳动合同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)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。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ind w:left="15" w:leftChars="7" w:firstLine="465" w:firstLineChars="15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让学生形成劳动合同的基本知识框架，通过学习对劳动合同有初步的了解，为下一章节的学习做铺垫。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eastAsia="宋体" w:cs="宋体"/>
          <w:bCs/>
          <w:iCs/>
          <w:color w:val="333333"/>
          <w:spacing w:val="15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本课程的授课对象是法律事务专业的学生，法律知识架构还在形成中。通过劳动法的概述、劳动法律关系这两章的学习，对《劳动法》有了初步的了解，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在此基础上，增加《劳动合同法》的学习。</w:t>
      </w:r>
    </w:p>
    <w:p>
      <w:pPr>
        <w:ind w:left="31680" w:hanging="16" w:hangingChars="5"/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、学生作业报告分析。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、课前完成相关练习。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、课前练习、重点</w:t>
            </w:r>
            <w:r>
              <w:rPr>
                <w:rFonts w:hint="eastAsia"/>
                <w:sz w:val="24"/>
                <w:lang w:eastAsia="zh-CN"/>
              </w:rPr>
              <w:t>知识的</w:t>
            </w:r>
            <w:r>
              <w:rPr>
                <w:rFonts w:hint="eastAsia"/>
                <w:sz w:val="24"/>
              </w:rPr>
              <w:t>回顾是为了让学生对前章内容</w:t>
            </w:r>
            <w:r>
              <w:rPr>
                <w:rFonts w:hint="eastAsia"/>
                <w:sz w:val="24"/>
                <w:lang w:eastAsia="zh-CN"/>
              </w:rPr>
              <w:t>进行复习</w:t>
            </w:r>
            <w:r>
              <w:rPr>
                <w:rFonts w:hint="eastAsia"/>
                <w:sz w:val="24"/>
              </w:rPr>
              <w:t>，形成知识环，更好地与即将要学习的知识串联，最终构成稳固的知识链。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了解学习的内容。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让学生清楚今天的学习任务，了解学习内容的重（难）点。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数据图表分析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（劳动合同纠纷的案件数）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解读图表。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、让学生了解学习本章节的重要意义。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讲授知识点，请优秀小组代表进行社会调查</w:t>
            </w:r>
            <w:r>
              <w:rPr>
                <w:rFonts w:hint="eastAsia"/>
                <w:sz w:val="24"/>
                <w:lang w:eastAsia="zh-CN"/>
              </w:rPr>
              <w:t>总结</w:t>
            </w:r>
            <w:r>
              <w:rPr>
                <w:rFonts w:hint="eastAsia"/>
                <w:sz w:val="24"/>
              </w:rPr>
              <w:t>汇报。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、学生讲解利用课余时间，通过网络、校园、律师事务所等多渠道收集的信息，制作的社会调查。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、学生通过课余时间，预习并按照老师布置的任务，通过小组成员的力量结合所学知识开展社会调查，知识的应用拓宽到现实的生活中，让学生</w:t>
            </w:r>
            <w:r>
              <w:rPr>
                <w:rFonts w:hint="eastAsia"/>
                <w:sz w:val="24"/>
                <w:lang w:eastAsia="zh-CN"/>
              </w:rPr>
              <w:t>体验学习的真正意义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热点追击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（用动画形式进行：案例讲解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律师问答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维权途径）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、听取讲解。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、用动</w:t>
            </w:r>
            <w:r>
              <w:rPr>
                <w:rFonts w:hint="eastAsia"/>
                <w:sz w:val="24"/>
                <w:lang w:eastAsia="zh-CN"/>
              </w:rPr>
              <w:t>画</w:t>
            </w:r>
            <w:r>
              <w:rPr>
                <w:rFonts w:hint="eastAsia"/>
                <w:sz w:val="24"/>
              </w:rPr>
              <w:t>的形式讲解案例，更生动，更吸引学生。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、讲解知识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跟老师一起分解图表。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、用图表的形式对今天学习的重、难点进行总结归纳，化繁为简，让学生一目了然，容易记忆。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结合教材、拓展教学知识，丰富了教材的内容。</w:t>
      </w: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根据教材的安排，合理设计本章节的教学内容，从点到面，逐步铺开，顺利完成教学任务。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鼓励学生多参与，真正体现“做中学、做中教、学习者为中心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课前安排预习的任务，学生利用课余时间开展社会调查，充分发挥学习的主动性。小组讨论的形式，让学习变为更灵动。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教学手段的多样性，打造精彩课堂。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教师分析案例、学生汇报社会调查、热点问题追击，多种教学手段的结合，让课堂学习气氛更浓厚，收到理想的教学效果。</w:t>
      </w:r>
    </w:p>
    <w:p>
      <w:pPr>
        <w:ind w:left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7BD92F7"/>
    <w:multiLevelType w:val="singleLevel"/>
    <w:tmpl w:val="67BD92F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23CE1"/>
    <w:rsid w:val="00186412"/>
    <w:rsid w:val="00197A06"/>
    <w:rsid w:val="001B187E"/>
    <w:rsid w:val="00226FC8"/>
    <w:rsid w:val="00250430"/>
    <w:rsid w:val="002758F2"/>
    <w:rsid w:val="00280400"/>
    <w:rsid w:val="002853FF"/>
    <w:rsid w:val="00322F9E"/>
    <w:rsid w:val="003427BA"/>
    <w:rsid w:val="00363D54"/>
    <w:rsid w:val="00397D09"/>
    <w:rsid w:val="003A2B48"/>
    <w:rsid w:val="003A42D6"/>
    <w:rsid w:val="003C25FD"/>
    <w:rsid w:val="003C6A44"/>
    <w:rsid w:val="003F6B81"/>
    <w:rsid w:val="00487749"/>
    <w:rsid w:val="00507DC2"/>
    <w:rsid w:val="00543E71"/>
    <w:rsid w:val="005A5244"/>
    <w:rsid w:val="005E05E9"/>
    <w:rsid w:val="005E7483"/>
    <w:rsid w:val="006541E5"/>
    <w:rsid w:val="0067423C"/>
    <w:rsid w:val="00676A2C"/>
    <w:rsid w:val="00696300"/>
    <w:rsid w:val="00726FF7"/>
    <w:rsid w:val="00731484"/>
    <w:rsid w:val="00774A49"/>
    <w:rsid w:val="00784895"/>
    <w:rsid w:val="007A0622"/>
    <w:rsid w:val="007C28EF"/>
    <w:rsid w:val="007E4BD8"/>
    <w:rsid w:val="0083237F"/>
    <w:rsid w:val="008360FC"/>
    <w:rsid w:val="008432DA"/>
    <w:rsid w:val="00875325"/>
    <w:rsid w:val="008C2EAC"/>
    <w:rsid w:val="008C3F32"/>
    <w:rsid w:val="008E1924"/>
    <w:rsid w:val="008F1ED2"/>
    <w:rsid w:val="00934DBB"/>
    <w:rsid w:val="00950AB1"/>
    <w:rsid w:val="00993AA7"/>
    <w:rsid w:val="00A05F6C"/>
    <w:rsid w:val="00A070F5"/>
    <w:rsid w:val="00A404AB"/>
    <w:rsid w:val="00A9588E"/>
    <w:rsid w:val="00AD1053"/>
    <w:rsid w:val="00AE1A5D"/>
    <w:rsid w:val="00B60291"/>
    <w:rsid w:val="00B72FD4"/>
    <w:rsid w:val="00BC3782"/>
    <w:rsid w:val="00C2412B"/>
    <w:rsid w:val="00C308A0"/>
    <w:rsid w:val="00C866D6"/>
    <w:rsid w:val="00CB2DCF"/>
    <w:rsid w:val="00D1402E"/>
    <w:rsid w:val="00DB7CC0"/>
    <w:rsid w:val="00DF1469"/>
    <w:rsid w:val="00E33774"/>
    <w:rsid w:val="00E96E6C"/>
    <w:rsid w:val="00EB1D55"/>
    <w:rsid w:val="00ED6867"/>
    <w:rsid w:val="00F02A10"/>
    <w:rsid w:val="00FB35E5"/>
    <w:rsid w:val="01D65C1F"/>
    <w:rsid w:val="028C3D68"/>
    <w:rsid w:val="0E2511F5"/>
    <w:rsid w:val="0EC83967"/>
    <w:rsid w:val="12AA39F3"/>
    <w:rsid w:val="13487140"/>
    <w:rsid w:val="157955E1"/>
    <w:rsid w:val="19E211E1"/>
    <w:rsid w:val="1BF11FB6"/>
    <w:rsid w:val="1C655662"/>
    <w:rsid w:val="1D874DED"/>
    <w:rsid w:val="2746541D"/>
    <w:rsid w:val="277E624D"/>
    <w:rsid w:val="29702391"/>
    <w:rsid w:val="2B0C090D"/>
    <w:rsid w:val="2D522956"/>
    <w:rsid w:val="2DD8608D"/>
    <w:rsid w:val="2F184F44"/>
    <w:rsid w:val="2F40406C"/>
    <w:rsid w:val="330E4249"/>
    <w:rsid w:val="342975A7"/>
    <w:rsid w:val="385971C3"/>
    <w:rsid w:val="42943646"/>
    <w:rsid w:val="43FA5B89"/>
    <w:rsid w:val="472849CF"/>
    <w:rsid w:val="4A051187"/>
    <w:rsid w:val="4BB37C76"/>
    <w:rsid w:val="4DD00CAC"/>
    <w:rsid w:val="4E426FDE"/>
    <w:rsid w:val="59B34EC1"/>
    <w:rsid w:val="5C482575"/>
    <w:rsid w:val="5D794321"/>
    <w:rsid w:val="5DE137CD"/>
    <w:rsid w:val="5EFE1D0A"/>
    <w:rsid w:val="5FCF449A"/>
    <w:rsid w:val="633C08F9"/>
    <w:rsid w:val="668F0A8B"/>
    <w:rsid w:val="6B4334A7"/>
    <w:rsid w:val="72AF5DD6"/>
    <w:rsid w:val="730907F6"/>
    <w:rsid w:val="741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1433</Words>
  <Characters>1437</Characters>
  <Lines>0</Lines>
  <Paragraphs>0</Paragraphs>
  <TotalTime>15</TotalTime>
  <ScaleCrop>false</ScaleCrop>
  <LinksUpToDate>false</LinksUpToDate>
  <CharactersWithSpaces>1441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FUDAO</cp:lastModifiedBy>
  <cp:lastPrinted>2019-07-06T01:42:00Z</cp:lastPrinted>
  <dcterms:modified xsi:type="dcterms:W3CDTF">2021-01-02T04:30:05Z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